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15" w:rsidRDefault="00E53215" w:rsidP="00E53215">
      <w:pPr>
        <w:spacing w:line="460" w:lineRule="exact"/>
        <w:ind w:leftChars="50" w:left="100"/>
        <w:jc w:val="center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股票简称:西</w:t>
      </w:r>
      <w:proofErr w:type="gramStart"/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王食品</w:t>
      </w:r>
      <w:proofErr w:type="gramEnd"/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 xml:space="preserve">         股票代码:000639        编号:201</w:t>
      </w:r>
      <w:r w:rsidR="008156DF">
        <w:rPr>
          <w:rFonts w:ascii="仿宋_GB2312" w:eastAsia="仿宋_GB2312" w:hAnsi="仿宋" w:hint="eastAsia"/>
          <w:b/>
          <w:color w:val="000000"/>
          <w:sz w:val="24"/>
          <w:szCs w:val="24"/>
        </w:rPr>
        <w:t>6</w:t>
      </w:r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-</w:t>
      </w:r>
      <w:r w:rsidR="00771121">
        <w:rPr>
          <w:rFonts w:ascii="仿宋_GB2312" w:eastAsia="仿宋_GB2312" w:hAnsi="仿宋" w:hint="eastAsia"/>
          <w:b/>
          <w:color w:val="000000"/>
          <w:sz w:val="24"/>
          <w:szCs w:val="24"/>
        </w:rPr>
        <w:t>10</w:t>
      </w:r>
      <w:r w:rsidR="003E16AC">
        <w:rPr>
          <w:rFonts w:ascii="仿宋_GB2312" w:eastAsia="仿宋_GB2312" w:hAnsi="仿宋" w:hint="eastAsia"/>
          <w:b/>
          <w:color w:val="000000"/>
          <w:sz w:val="24"/>
          <w:szCs w:val="24"/>
        </w:rPr>
        <w:t>4</w:t>
      </w:r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号</w:t>
      </w:r>
    </w:p>
    <w:p w:rsidR="00E53215" w:rsidRDefault="00E53215" w:rsidP="00E53215">
      <w:pPr>
        <w:spacing w:line="460" w:lineRule="exact"/>
        <w:ind w:leftChars="50" w:left="100"/>
        <w:rPr>
          <w:rFonts w:ascii="仿宋" w:eastAsia="仿宋" w:hAnsi="仿宋"/>
          <w:b/>
          <w:sz w:val="24"/>
          <w:szCs w:val="24"/>
        </w:rPr>
      </w:pPr>
    </w:p>
    <w:p w:rsidR="00E53215" w:rsidRDefault="00E53215" w:rsidP="00E53215">
      <w:pPr>
        <w:spacing w:line="460" w:lineRule="exact"/>
        <w:ind w:leftChars="50" w:left="10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西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王食品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股份有限公司</w:t>
      </w:r>
    </w:p>
    <w:p w:rsidR="00E53215" w:rsidRDefault="00E53215" w:rsidP="009D3A38">
      <w:pPr>
        <w:spacing w:line="460" w:lineRule="exact"/>
        <w:ind w:leftChars="50" w:left="10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关于控股股东</w:t>
      </w:r>
      <w:r w:rsidR="009D3A38">
        <w:rPr>
          <w:rFonts w:ascii="仿宋_GB2312" w:eastAsia="仿宋_GB2312" w:hAnsi="仿宋" w:hint="eastAsia"/>
          <w:b/>
          <w:sz w:val="32"/>
          <w:szCs w:val="32"/>
        </w:rPr>
        <w:t>股份被</w:t>
      </w:r>
      <w:r>
        <w:rPr>
          <w:rFonts w:ascii="仿宋_GB2312" w:eastAsia="仿宋_GB2312" w:hAnsi="仿宋" w:hint="eastAsia"/>
          <w:b/>
          <w:sz w:val="32"/>
          <w:szCs w:val="32"/>
        </w:rPr>
        <w:t>质押公告</w:t>
      </w:r>
    </w:p>
    <w:p w:rsidR="00E53215" w:rsidRDefault="00E53215" w:rsidP="00E53215">
      <w:pPr>
        <w:spacing w:line="460" w:lineRule="exact"/>
        <w:ind w:leftChars="50" w:left="100"/>
        <w:rPr>
          <w:rFonts w:ascii="仿宋_GB2312" w:eastAsia="仿宋_GB2312" w:hAnsi="仿宋"/>
          <w:b/>
          <w:sz w:val="24"/>
          <w:szCs w:val="24"/>
        </w:rPr>
      </w:pPr>
    </w:p>
    <w:tbl>
      <w:tblPr>
        <w:tblW w:w="8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E53215" w:rsidTr="00E53215">
        <w:trPr>
          <w:trHeight w:val="958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5" w:rsidRDefault="00E53215">
            <w:pPr>
              <w:spacing w:line="460" w:lineRule="exact"/>
              <w:ind w:leftChars="50" w:left="10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　　本公司及董事会全体成员保证信息披露内容的真实、准确和完整，没有虚假记载、误导性陈述或重大遗漏。</w:t>
            </w:r>
          </w:p>
        </w:tc>
      </w:tr>
    </w:tbl>
    <w:p w:rsidR="008A0FE5" w:rsidRDefault="008A0FE5"/>
    <w:p w:rsidR="003B19B7" w:rsidRDefault="003B19B7" w:rsidP="00FA3028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3B19B7">
        <w:rPr>
          <w:rFonts w:ascii="仿宋_GB2312" w:eastAsia="仿宋_GB2312"/>
          <w:sz w:val="24"/>
          <w:szCs w:val="24"/>
        </w:rPr>
        <w:t>西</w:t>
      </w:r>
      <w:proofErr w:type="gramStart"/>
      <w:r w:rsidRPr="003B19B7">
        <w:rPr>
          <w:rFonts w:ascii="仿宋_GB2312" w:eastAsia="仿宋_GB2312"/>
          <w:sz w:val="24"/>
          <w:szCs w:val="24"/>
        </w:rPr>
        <w:t>王食品</w:t>
      </w:r>
      <w:proofErr w:type="gramEnd"/>
      <w:r w:rsidRPr="003B19B7">
        <w:rPr>
          <w:rFonts w:ascii="仿宋_GB2312" w:eastAsia="仿宋_GB2312" w:hint="eastAsia"/>
          <w:sz w:val="24"/>
          <w:szCs w:val="24"/>
        </w:rPr>
        <w:t>股份有限公司（以下简称</w:t>
      </w:r>
      <w:r w:rsidR="002A5ED2">
        <w:rPr>
          <w:rFonts w:ascii="仿宋_GB2312" w:eastAsia="仿宋_GB2312" w:hint="eastAsia"/>
          <w:sz w:val="24"/>
          <w:szCs w:val="24"/>
        </w:rPr>
        <w:t>“</w:t>
      </w:r>
      <w:r w:rsidRPr="003B19B7">
        <w:rPr>
          <w:rFonts w:ascii="仿宋_GB2312" w:eastAsia="仿宋_GB2312" w:hint="eastAsia"/>
          <w:sz w:val="24"/>
          <w:szCs w:val="24"/>
        </w:rPr>
        <w:t>公司</w:t>
      </w:r>
      <w:r w:rsidR="002A5ED2">
        <w:rPr>
          <w:rFonts w:ascii="仿宋_GB2312" w:eastAsia="仿宋_GB2312" w:hint="eastAsia"/>
          <w:sz w:val="24"/>
          <w:szCs w:val="24"/>
        </w:rPr>
        <w:t>”</w:t>
      </w:r>
      <w:r w:rsidRPr="003B19B7">
        <w:rPr>
          <w:rFonts w:ascii="仿宋_GB2312" w:eastAsia="仿宋_GB2312" w:hint="eastAsia"/>
          <w:sz w:val="24"/>
          <w:szCs w:val="24"/>
        </w:rPr>
        <w:t>）于近日收到公司</w:t>
      </w:r>
      <w:r w:rsidR="009D3A38">
        <w:rPr>
          <w:rFonts w:ascii="仿宋_GB2312" w:eastAsia="仿宋_GB2312" w:hint="eastAsia"/>
          <w:sz w:val="24"/>
          <w:szCs w:val="24"/>
        </w:rPr>
        <w:t>控股</w:t>
      </w:r>
      <w:r w:rsidRPr="003B19B7">
        <w:rPr>
          <w:rFonts w:ascii="仿宋_GB2312" w:eastAsia="仿宋_GB2312" w:hint="eastAsia"/>
          <w:sz w:val="24"/>
          <w:szCs w:val="24"/>
        </w:rPr>
        <w:t>股东西王集团有限公司（以下简称“西王集团”）关于</w:t>
      </w:r>
      <w:r w:rsidR="009D3A38">
        <w:rPr>
          <w:rFonts w:ascii="仿宋_GB2312" w:eastAsia="仿宋_GB2312" w:hint="eastAsia"/>
          <w:sz w:val="24"/>
          <w:szCs w:val="24"/>
        </w:rPr>
        <w:t>股份被质押</w:t>
      </w:r>
      <w:r w:rsidRPr="003B19B7">
        <w:rPr>
          <w:rFonts w:ascii="仿宋_GB2312" w:eastAsia="仿宋_GB2312" w:hint="eastAsia"/>
          <w:sz w:val="24"/>
          <w:szCs w:val="24"/>
        </w:rPr>
        <w:t>的通知，现将有关情况公告如下：</w:t>
      </w:r>
    </w:p>
    <w:p w:rsidR="009D3A38" w:rsidRPr="00615FFC" w:rsidRDefault="001C0F21" w:rsidP="00FA3028">
      <w:pPr>
        <w:spacing w:line="40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一</w:t>
      </w:r>
      <w:r w:rsidR="00F3058C" w:rsidRPr="00615FFC">
        <w:rPr>
          <w:rFonts w:ascii="仿宋_GB2312" w:eastAsia="仿宋_GB2312" w:hint="eastAsia"/>
          <w:b/>
          <w:sz w:val="24"/>
          <w:szCs w:val="24"/>
        </w:rPr>
        <w:t>、股份质押情况</w:t>
      </w:r>
    </w:p>
    <w:p w:rsidR="00F3058C" w:rsidRDefault="00F3058C" w:rsidP="00FA3028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西王集团将其持有的部分股份质押给</w:t>
      </w:r>
      <w:r w:rsidR="001C0F21">
        <w:rPr>
          <w:rFonts w:ascii="仿宋_GB2312" w:eastAsia="仿宋_GB2312" w:hint="eastAsia"/>
          <w:sz w:val="24"/>
          <w:szCs w:val="24"/>
        </w:rPr>
        <w:t>宁波梅山保税区港区信</w:t>
      </w:r>
      <w:proofErr w:type="gramStart"/>
      <w:r w:rsidR="001C0F21">
        <w:rPr>
          <w:rFonts w:ascii="仿宋_GB2312" w:eastAsia="仿宋_GB2312" w:hint="eastAsia"/>
          <w:sz w:val="24"/>
          <w:szCs w:val="24"/>
        </w:rPr>
        <w:t>善投资</w:t>
      </w:r>
      <w:proofErr w:type="gramEnd"/>
      <w:r w:rsidR="001C0F21">
        <w:rPr>
          <w:rFonts w:ascii="仿宋_GB2312" w:eastAsia="仿宋_GB2312" w:hint="eastAsia"/>
          <w:sz w:val="24"/>
          <w:szCs w:val="24"/>
        </w:rPr>
        <w:t>合伙企业（有限合伙）（以下简</w:t>
      </w:r>
      <w:bookmarkStart w:id="0" w:name="_GoBack"/>
      <w:bookmarkEnd w:id="0"/>
      <w:r w:rsidR="001C0F21">
        <w:rPr>
          <w:rFonts w:ascii="仿宋_GB2312" w:eastAsia="仿宋_GB2312" w:hint="eastAsia"/>
          <w:sz w:val="24"/>
          <w:szCs w:val="24"/>
        </w:rPr>
        <w:t>称“</w:t>
      </w:r>
      <w:r w:rsidR="001C0F21">
        <w:rPr>
          <w:rFonts w:ascii="仿宋_GB2312" w:eastAsia="仿宋_GB2312" w:hint="eastAsia"/>
          <w:sz w:val="24"/>
          <w:szCs w:val="24"/>
        </w:rPr>
        <w:t>宁波信善</w:t>
      </w:r>
      <w:r w:rsidR="001C0F21">
        <w:rPr>
          <w:rFonts w:ascii="仿宋_GB2312" w:eastAsia="仿宋_GB2312" w:hint="eastAsia"/>
          <w:sz w:val="24"/>
          <w:szCs w:val="24"/>
        </w:rPr>
        <w:t>”）</w:t>
      </w:r>
      <w:r w:rsidR="005A37BD">
        <w:rPr>
          <w:rFonts w:ascii="仿宋_GB2312" w:eastAsia="仿宋_GB2312" w:hint="eastAsia"/>
          <w:sz w:val="24"/>
          <w:szCs w:val="24"/>
        </w:rPr>
        <w:t xml:space="preserve"> </w:t>
      </w:r>
      <w:r w:rsidRPr="00F3058C">
        <w:rPr>
          <w:rFonts w:ascii="仿宋_GB2312" w:eastAsia="仿宋_GB2312"/>
          <w:sz w:val="24"/>
          <w:szCs w:val="24"/>
        </w:rPr>
        <w:t>并办理了质押登记相关手续，基本情况如下：</w:t>
      </w:r>
    </w:p>
    <w:p w:rsidR="00F3058C" w:rsidRDefault="00F3058C" w:rsidP="002A5ED2">
      <w:pPr>
        <w:spacing w:line="34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134"/>
        <w:gridCol w:w="992"/>
        <w:gridCol w:w="709"/>
        <w:gridCol w:w="1364"/>
        <w:gridCol w:w="529"/>
      </w:tblGrid>
      <w:tr w:rsidR="00F3058C" w:rsidTr="005A37BD">
        <w:tc>
          <w:tcPr>
            <w:tcW w:w="959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股东名称</w:t>
            </w:r>
          </w:p>
        </w:tc>
        <w:tc>
          <w:tcPr>
            <w:tcW w:w="1417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是否为第一大股东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及一致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行动人</w:t>
            </w:r>
          </w:p>
        </w:tc>
        <w:tc>
          <w:tcPr>
            <w:tcW w:w="1418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质押股数</w:t>
            </w:r>
          </w:p>
        </w:tc>
        <w:tc>
          <w:tcPr>
            <w:tcW w:w="1134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质押开始日期</w:t>
            </w:r>
          </w:p>
        </w:tc>
        <w:tc>
          <w:tcPr>
            <w:tcW w:w="992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质押到日期</w:t>
            </w:r>
          </w:p>
        </w:tc>
        <w:tc>
          <w:tcPr>
            <w:tcW w:w="709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质权人</w:t>
            </w:r>
          </w:p>
        </w:tc>
        <w:tc>
          <w:tcPr>
            <w:tcW w:w="1364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本次质押占其所持股份比例</w:t>
            </w:r>
          </w:p>
        </w:tc>
        <w:tc>
          <w:tcPr>
            <w:tcW w:w="529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用途</w:t>
            </w:r>
          </w:p>
        </w:tc>
      </w:tr>
      <w:tr w:rsidR="001C0F21" w:rsidTr="005A37BD">
        <w:tc>
          <w:tcPr>
            <w:tcW w:w="959" w:type="dxa"/>
            <w:vAlign w:val="center"/>
          </w:tcPr>
          <w:p w:rsidR="001C0F21" w:rsidRDefault="001C0F21" w:rsidP="005A37B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西王集团</w:t>
            </w:r>
          </w:p>
        </w:tc>
        <w:tc>
          <w:tcPr>
            <w:tcW w:w="1417" w:type="dxa"/>
            <w:vAlign w:val="center"/>
          </w:tcPr>
          <w:p w:rsidR="001C0F21" w:rsidRDefault="001C0F21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  <w:vAlign w:val="center"/>
          </w:tcPr>
          <w:p w:rsidR="001C0F21" w:rsidRDefault="001C0F21" w:rsidP="001C0F2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17,000,000</w:t>
            </w:r>
          </w:p>
        </w:tc>
        <w:tc>
          <w:tcPr>
            <w:tcW w:w="1134" w:type="dxa"/>
            <w:vAlign w:val="center"/>
          </w:tcPr>
          <w:p w:rsidR="001C0F21" w:rsidRDefault="001C0F21" w:rsidP="009A04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2016年10月24日</w:t>
            </w:r>
          </w:p>
        </w:tc>
        <w:tc>
          <w:tcPr>
            <w:tcW w:w="992" w:type="dxa"/>
            <w:vAlign w:val="center"/>
          </w:tcPr>
          <w:p w:rsidR="001C0F21" w:rsidRDefault="001C0F21" w:rsidP="005A37B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2017年10月23日</w:t>
            </w:r>
          </w:p>
        </w:tc>
        <w:tc>
          <w:tcPr>
            <w:tcW w:w="709" w:type="dxa"/>
            <w:vAlign w:val="center"/>
          </w:tcPr>
          <w:p w:rsidR="001C0F21" w:rsidRDefault="001C0F21" w:rsidP="005A37B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宁波信善</w:t>
            </w:r>
          </w:p>
        </w:tc>
        <w:tc>
          <w:tcPr>
            <w:tcW w:w="1364" w:type="dxa"/>
            <w:vAlign w:val="center"/>
          </w:tcPr>
          <w:p w:rsidR="001C0F21" w:rsidRDefault="003E16AC" w:rsidP="00AD287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10.71</w:t>
            </w:r>
            <w:r w:rsidR="001C0F21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529" w:type="dxa"/>
            <w:vAlign w:val="center"/>
          </w:tcPr>
          <w:p w:rsidR="001C0F21" w:rsidRDefault="001C0F21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融资</w:t>
            </w:r>
          </w:p>
        </w:tc>
      </w:tr>
    </w:tbl>
    <w:p w:rsidR="00DC7CD6" w:rsidRPr="00670550" w:rsidRDefault="001C0F21" w:rsidP="00D2381C">
      <w:pPr>
        <w:spacing w:line="40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二</w:t>
      </w:r>
      <w:r w:rsidR="00DC7CD6" w:rsidRPr="00670550">
        <w:rPr>
          <w:rFonts w:ascii="仿宋_GB2312" w:eastAsia="仿宋_GB2312"/>
          <w:b/>
          <w:sz w:val="24"/>
          <w:szCs w:val="24"/>
        </w:rPr>
        <w:t xml:space="preserve">、股东股份累计被质押的情况 </w:t>
      </w:r>
    </w:p>
    <w:p w:rsidR="001C0F21" w:rsidRDefault="001C0F21" w:rsidP="001C0F2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 w:rsidRPr="00DC7CD6">
        <w:rPr>
          <w:rFonts w:ascii="仿宋_GB2312" w:eastAsia="仿宋_GB2312"/>
          <w:sz w:val="24"/>
          <w:szCs w:val="24"/>
        </w:rPr>
        <w:t>截至公告披露日，</w:t>
      </w:r>
      <w:r>
        <w:rPr>
          <w:rFonts w:ascii="仿宋_GB2312" w:eastAsia="仿宋_GB2312" w:hint="eastAsia"/>
          <w:sz w:val="24"/>
          <w:szCs w:val="24"/>
        </w:rPr>
        <w:t>西王集团</w:t>
      </w:r>
      <w:r w:rsidRPr="00DC7CD6">
        <w:rPr>
          <w:rFonts w:ascii="仿宋_GB2312" w:eastAsia="仿宋_GB2312"/>
          <w:sz w:val="24"/>
          <w:szCs w:val="24"/>
        </w:rPr>
        <w:t>持有公司股份</w:t>
      </w:r>
      <w:r>
        <w:rPr>
          <w:rFonts w:ascii="仿宋_GB2312" w:eastAsia="仿宋_GB2312" w:hint="eastAsia"/>
          <w:sz w:val="24"/>
          <w:szCs w:val="24"/>
        </w:rPr>
        <w:t>158,</w:t>
      </w:r>
      <w:r>
        <w:rPr>
          <w:rFonts w:ascii="仿宋_GB2312" w:eastAsia="仿宋_GB2312"/>
          <w:sz w:val="24"/>
          <w:szCs w:val="24"/>
        </w:rPr>
        <w:t>685</w:t>
      </w:r>
      <w:r>
        <w:rPr>
          <w:rFonts w:ascii="仿宋_GB2312" w:eastAsia="仿宋_GB2312" w:hint="eastAsia"/>
          <w:sz w:val="24"/>
          <w:szCs w:val="24"/>
        </w:rPr>
        <w:t>,</w:t>
      </w:r>
      <w:r>
        <w:rPr>
          <w:rFonts w:ascii="仿宋_GB2312" w:eastAsia="仿宋_GB2312"/>
          <w:sz w:val="24"/>
          <w:szCs w:val="24"/>
        </w:rPr>
        <w:t>856</w:t>
      </w:r>
      <w:r w:rsidRPr="00DC7CD6">
        <w:rPr>
          <w:rFonts w:ascii="仿宋_GB2312" w:eastAsia="仿宋_GB2312"/>
          <w:sz w:val="24"/>
          <w:szCs w:val="24"/>
        </w:rPr>
        <w:t>股，占公司总股本的</w:t>
      </w:r>
      <w:r>
        <w:rPr>
          <w:rFonts w:ascii="仿宋_GB2312" w:eastAsia="仿宋_GB2312" w:hint="eastAsia"/>
          <w:sz w:val="24"/>
          <w:szCs w:val="24"/>
        </w:rPr>
        <w:t>3</w:t>
      </w:r>
      <w:r w:rsidRPr="00DC7CD6">
        <w:rPr>
          <w:rFonts w:ascii="仿宋_GB2312" w:eastAsia="仿宋_GB2312"/>
          <w:sz w:val="24"/>
          <w:szCs w:val="24"/>
        </w:rPr>
        <w:t>4.9</w:t>
      </w:r>
      <w:r>
        <w:rPr>
          <w:rFonts w:ascii="仿宋_GB2312" w:eastAsia="仿宋_GB2312" w:hint="eastAsia"/>
          <w:sz w:val="24"/>
          <w:szCs w:val="24"/>
        </w:rPr>
        <w:t>1</w:t>
      </w:r>
      <w:r w:rsidRPr="00DC7CD6">
        <w:rPr>
          <w:rFonts w:ascii="仿宋_GB2312" w:eastAsia="仿宋_GB2312"/>
          <w:sz w:val="24"/>
          <w:szCs w:val="24"/>
        </w:rPr>
        <w:t>%</w:t>
      </w:r>
      <w:r>
        <w:rPr>
          <w:rFonts w:ascii="仿宋_GB2312" w:eastAsia="仿宋_GB2312" w:hint="eastAsia"/>
          <w:sz w:val="24"/>
          <w:szCs w:val="24"/>
        </w:rPr>
        <w:t>，</w:t>
      </w:r>
      <w:r w:rsidRPr="00D26FAB">
        <w:rPr>
          <w:rFonts w:ascii="仿宋_GB2312" w:eastAsia="仿宋_GB2312" w:hint="eastAsia"/>
          <w:sz w:val="24"/>
          <w:szCs w:val="24"/>
        </w:rPr>
        <w:t>累计质押</w:t>
      </w:r>
      <w:r>
        <w:rPr>
          <w:rFonts w:ascii="仿宋_GB2312" w:eastAsia="仿宋_GB2312" w:hint="eastAsia"/>
          <w:sz w:val="24"/>
          <w:szCs w:val="24"/>
        </w:rPr>
        <w:t>/冻结</w:t>
      </w:r>
      <w:r w:rsidRPr="00D26FAB">
        <w:rPr>
          <w:rFonts w:ascii="仿宋_GB2312" w:eastAsia="仿宋_GB2312" w:hint="eastAsia"/>
          <w:sz w:val="24"/>
          <w:szCs w:val="24"/>
        </w:rPr>
        <w:t>股份</w:t>
      </w:r>
      <w:r>
        <w:rPr>
          <w:rFonts w:ascii="仿宋_GB2312" w:eastAsia="仿宋_GB2312" w:hint="eastAsia"/>
          <w:sz w:val="24"/>
          <w:szCs w:val="24"/>
        </w:rPr>
        <w:t>合计</w:t>
      </w:r>
      <w:r w:rsidRPr="00D26FAB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45</w:t>
      </w:r>
      <w:r>
        <w:rPr>
          <w:rFonts w:ascii="仿宋_GB2312" w:eastAsia="仿宋_GB2312" w:hint="eastAsia"/>
          <w:sz w:val="24"/>
          <w:szCs w:val="24"/>
        </w:rPr>
        <w:t>,470,000</w:t>
      </w:r>
      <w:r w:rsidRPr="00D26FAB">
        <w:rPr>
          <w:rFonts w:ascii="仿宋_GB2312" w:eastAsia="仿宋_GB2312" w:hint="eastAsia"/>
          <w:sz w:val="24"/>
          <w:szCs w:val="24"/>
        </w:rPr>
        <w:t>股，占本公司总股本的</w:t>
      </w:r>
      <w:r>
        <w:rPr>
          <w:rFonts w:ascii="仿宋_GB2312" w:eastAsia="仿宋_GB2312" w:hint="eastAsia"/>
          <w:sz w:val="24"/>
          <w:szCs w:val="24"/>
        </w:rPr>
        <w:t>32.00</w:t>
      </w:r>
      <w:r w:rsidRPr="00D26FAB">
        <w:rPr>
          <w:rFonts w:ascii="仿宋_GB2312" w:eastAsia="仿宋_GB2312" w:hint="eastAsia"/>
          <w:sz w:val="24"/>
          <w:szCs w:val="24"/>
        </w:rPr>
        <w:t>%</w:t>
      </w:r>
      <w:r w:rsidRPr="00DC7CD6">
        <w:rPr>
          <w:rFonts w:ascii="仿宋_GB2312" w:eastAsia="仿宋_GB2312"/>
          <w:sz w:val="24"/>
          <w:szCs w:val="24"/>
        </w:rPr>
        <w:t>；</w:t>
      </w:r>
      <w:r w:rsidR="003E16AC">
        <w:rPr>
          <w:rFonts w:ascii="仿宋" w:eastAsia="仿宋" w:hAnsi="仿宋" w:cs="仿宋"/>
          <w:sz w:val="24"/>
        </w:rPr>
        <w:t xml:space="preserve"> </w:t>
      </w:r>
    </w:p>
    <w:p w:rsidR="00D2381C" w:rsidRPr="00D2381C" w:rsidRDefault="00D2381C" w:rsidP="00D26FAB">
      <w:pPr>
        <w:spacing w:line="40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D2381C">
        <w:rPr>
          <w:rFonts w:ascii="仿宋_GB2312" w:eastAsia="仿宋_GB2312"/>
          <w:b/>
          <w:sz w:val="24"/>
          <w:szCs w:val="24"/>
        </w:rPr>
        <w:t xml:space="preserve">四、备查文件 </w:t>
      </w:r>
    </w:p>
    <w:p w:rsidR="00D2381C" w:rsidRPr="005A37BD" w:rsidRDefault="00D2381C" w:rsidP="005A37BD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5A37BD">
        <w:rPr>
          <w:rFonts w:ascii="仿宋_GB2312" w:eastAsia="仿宋_GB2312" w:hint="eastAsia"/>
          <w:sz w:val="24"/>
          <w:szCs w:val="24"/>
        </w:rPr>
        <w:t>股份</w:t>
      </w:r>
      <w:r w:rsidR="00205821" w:rsidRPr="005A37BD">
        <w:rPr>
          <w:rFonts w:ascii="仿宋_GB2312" w:eastAsia="仿宋_GB2312"/>
          <w:sz w:val="24"/>
          <w:szCs w:val="24"/>
        </w:rPr>
        <w:t>质押证明文件</w:t>
      </w:r>
      <w:r w:rsidR="00205821" w:rsidRPr="005A37BD">
        <w:rPr>
          <w:rFonts w:ascii="仿宋_GB2312" w:eastAsia="仿宋_GB2312" w:hint="eastAsia"/>
          <w:sz w:val="24"/>
          <w:szCs w:val="24"/>
        </w:rPr>
        <w:t>；</w:t>
      </w:r>
    </w:p>
    <w:p w:rsidR="00F3058C" w:rsidRPr="003E16AC" w:rsidRDefault="00205821" w:rsidP="003E16AC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5A37BD">
        <w:rPr>
          <w:rFonts w:ascii="仿宋_GB2312" w:eastAsia="仿宋_GB2312" w:hint="eastAsia"/>
          <w:sz w:val="24"/>
          <w:szCs w:val="24"/>
        </w:rPr>
        <w:t>中国证券登记结算有限责任公司股份冻结</w:t>
      </w:r>
      <w:r w:rsidR="009562B5" w:rsidRPr="005A37BD">
        <w:rPr>
          <w:rFonts w:ascii="仿宋_GB2312" w:eastAsia="仿宋_GB2312" w:hint="eastAsia"/>
          <w:sz w:val="24"/>
          <w:szCs w:val="24"/>
        </w:rPr>
        <w:t>数据</w:t>
      </w:r>
      <w:r w:rsidRPr="005A37BD">
        <w:rPr>
          <w:rFonts w:ascii="仿宋_GB2312" w:eastAsia="仿宋_GB2312" w:hint="eastAsia"/>
          <w:sz w:val="24"/>
          <w:szCs w:val="24"/>
        </w:rPr>
        <w:t>明细。</w:t>
      </w:r>
    </w:p>
    <w:p w:rsidR="003E16AC" w:rsidRDefault="003E16AC" w:rsidP="003E16AC">
      <w:pPr>
        <w:spacing w:line="40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334336" w:rsidRDefault="00A51258" w:rsidP="003E16AC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920B1">
        <w:rPr>
          <w:rFonts w:ascii="仿宋_GB2312" w:eastAsia="仿宋_GB2312" w:hint="eastAsia"/>
          <w:sz w:val="24"/>
          <w:szCs w:val="24"/>
        </w:rPr>
        <w:t xml:space="preserve">特此公告。 </w:t>
      </w:r>
    </w:p>
    <w:p w:rsidR="00C45C03" w:rsidRDefault="00C45C03" w:rsidP="00FA3028">
      <w:pPr>
        <w:spacing w:line="400" w:lineRule="exact"/>
        <w:ind w:firstLineChars="1950" w:firstLine="4680"/>
        <w:rPr>
          <w:rFonts w:ascii="仿宋_GB2312" w:eastAsia="仿宋_GB2312"/>
          <w:sz w:val="24"/>
          <w:szCs w:val="24"/>
        </w:rPr>
      </w:pPr>
    </w:p>
    <w:p w:rsidR="0019479C" w:rsidRDefault="00A51258" w:rsidP="00163E0E">
      <w:pPr>
        <w:spacing w:line="400" w:lineRule="exact"/>
        <w:ind w:firstLineChars="2350" w:firstLine="5640"/>
        <w:rPr>
          <w:rFonts w:ascii="仿宋_GB2312" w:eastAsia="仿宋_GB2312"/>
          <w:sz w:val="24"/>
          <w:szCs w:val="24"/>
        </w:rPr>
      </w:pPr>
      <w:r w:rsidRPr="00A920B1">
        <w:rPr>
          <w:rFonts w:ascii="仿宋_GB2312" w:eastAsia="仿宋_GB2312" w:hint="eastAsia"/>
          <w:sz w:val="24"/>
          <w:szCs w:val="24"/>
        </w:rPr>
        <w:t>西</w:t>
      </w:r>
      <w:proofErr w:type="gramStart"/>
      <w:r w:rsidRPr="00A920B1">
        <w:rPr>
          <w:rFonts w:ascii="仿宋_GB2312" w:eastAsia="仿宋_GB2312" w:hint="eastAsia"/>
          <w:sz w:val="24"/>
          <w:szCs w:val="24"/>
        </w:rPr>
        <w:t>王食品</w:t>
      </w:r>
      <w:proofErr w:type="gramEnd"/>
      <w:r w:rsidRPr="00A920B1">
        <w:rPr>
          <w:rFonts w:ascii="仿宋_GB2312" w:eastAsia="仿宋_GB2312" w:hint="eastAsia"/>
          <w:sz w:val="24"/>
          <w:szCs w:val="24"/>
        </w:rPr>
        <w:t>股份有限公司</w:t>
      </w:r>
    </w:p>
    <w:p w:rsidR="00A51258" w:rsidRPr="00A920B1" w:rsidRDefault="00A51258" w:rsidP="00163E0E">
      <w:pPr>
        <w:spacing w:line="400" w:lineRule="exact"/>
        <w:ind w:firstLineChars="2750" w:firstLine="6600"/>
        <w:rPr>
          <w:rFonts w:ascii="仿宋_GB2312" w:eastAsia="仿宋_GB2312"/>
          <w:sz w:val="24"/>
          <w:szCs w:val="24"/>
        </w:rPr>
      </w:pPr>
      <w:r w:rsidRPr="00A920B1">
        <w:rPr>
          <w:rFonts w:ascii="仿宋_GB2312" w:eastAsia="仿宋_GB2312" w:hint="eastAsia"/>
          <w:sz w:val="24"/>
          <w:szCs w:val="24"/>
        </w:rPr>
        <w:t xml:space="preserve">董事会 </w:t>
      </w:r>
    </w:p>
    <w:p w:rsidR="00A51258" w:rsidRPr="00A920B1" w:rsidRDefault="00A51258" w:rsidP="00163E0E">
      <w:pPr>
        <w:spacing w:line="400" w:lineRule="exact"/>
        <w:ind w:firstLineChars="2500" w:firstLine="6000"/>
        <w:rPr>
          <w:rFonts w:ascii="仿宋_GB2312" w:eastAsia="仿宋_GB2312"/>
          <w:sz w:val="24"/>
          <w:szCs w:val="24"/>
        </w:rPr>
      </w:pPr>
      <w:r w:rsidRPr="00A920B1">
        <w:rPr>
          <w:rFonts w:ascii="仿宋_GB2312" w:eastAsia="仿宋_GB2312" w:hint="eastAsia"/>
          <w:sz w:val="24"/>
          <w:szCs w:val="24"/>
        </w:rPr>
        <w:t>201</w:t>
      </w:r>
      <w:r w:rsidR="0019479C">
        <w:rPr>
          <w:rFonts w:ascii="仿宋_GB2312" w:eastAsia="仿宋_GB2312" w:hint="eastAsia"/>
          <w:sz w:val="24"/>
          <w:szCs w:val="24"/>
        </w:rPr>
        <w:t>6</w:t>
      </w:r>
      <w:r w:rsidRPr="00A920B1">
        <w:rPr>
          <w:rFonts w:ascii="仿宋_GB2312" w:eastAsia="仿宋_GB2312" w:hint="eastAsia"/>
          <w:sz w:val="24"/>
          <w:szCs w:val="24"/>
        </w:rPr>
        <w:t>年</w:t>
      </w:r>
      <w:r w:rsidR="005A37BD">
        <w:rPr>
          <w:rFonts w:ascii="仿宋_GB2312" w:eastAsia="仿宋_GB2312" w:hint="eastAsia"/>
          <w:sz w:val="24"/>
          <w:szCs w:val="24"/>
        </w:rPr>
        <w:t>10</w:t>
      </w:r>
      <w:r w:rsidRPr="00A920B1">
        <w:rPr>
          <w:rFonts w:ascii="仿宋_GB2312" w:eastAsia="仿宋_GB2312" w:hint="eastAsia"/>
          <w:sz w:val="24"/>
          <w:szCs w:val="24"/>
        </w:rPr>
        <w:t>月</w:t>
      </w:r>
      <w:r w:rsidR="005A37BD">
        <w:rPr>
          <w:rFonts w:ascii="仿宋_GB2312" w:eastAsia="仿宋_GB2312" w:hint="eastAsia"/>
          <w:sz w:val="24"/>
          <w:szCs w:val="24"/>
        </w:rPr>
        <w:t>2</w:t>
      </w:r>
      <w:r w:rsidR="003E16AC">
        <w:rPr>
          <w:rFonts w:ascii="仿宋_GB2312" w:eastAsia="仿宋_GB2312" w:hint="eastAsia"/>
          <w:sz w:val="24"/>
          <w:szCs w:val="24"/>
        </w:rPr>
        <w:t>5</w:t>
      </w:r>
      <w:r w:rsidRPr="00A920B1">
        <w:rPr>
          <w:rFonts w:ascii="仿宋_GB2312" w:eastAsia="仿宋_GB2312" w:hint="eastAsia"/>
          <w:sz w:val="24"/>
          <w:szCs w:val="24"/>
        </w:rPr>
        <w:t>日</w:t>
      </w:r>
    </w:p>
    <w:sectPr w:rsidR="00A51258" w:rsidRPr="00A920B1" w:rsidSect="008A0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7E" w:rsidRDefault="00234D7E" w:rsidP="00E53215">
      <w:r>
        <w:separator/>
      </w:r>
    </w:p>
  </w:endnote>
  <w:endnote w:type="continuationSeparator" w:id="0">
    <w:p w:rsidR="00234D7E" w:rsidRDefault="00234D7E" w:rsidP="00E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7E" w:rsidRDefault="00234D7E" w:rsidP="00E53215">
      <w:r>
        <w:separator/>
      </w:r>
    </w:p>
  </w:footnote>
  <w:footnote w:type="continuationSeparator" w:id="0">
    <w:p w:rsidR="00234D7E" w:rsidRDefault="00234D7E" w:rsidP="00E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4C1"/>
    <w:multiLevelType w:val="hybridMultilevel"/>
    <w:tmpl w:val="40DEE63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215"/>
    <w:rsid w:val="00023017"/>
    <w:rsid w:val="0004547B"/>
    <w:rsid w:val="000B34A3"/>
    <w:rsid w:val="000C2CDB"/>
    <w:rsid w:val="00132314"/>
    <w:rsid w:val="00141F24"/>
    <w:rsid w:val="00163E0E"/>
    <w:rsid w:val="00176CEA"/>
    <w:rsid w:val="00177BD7"/>
    <w:rsid w:val="0019479C"/>
    <w:rsid w:val="001A31EE"/>
    <w:rsid w:val="001C096F"/>
    <w:rsid w:val="001C0F21"/>
    <w:rsid w:val="0020427E"/>
    <w:rsid w:val="00205821"/>
    <w:rsid w:val="00234D7E"/>
    <w:rsid w:val="00281059"/>
    <w:rsid w:val="00286348"/>
    <w:rsid w:val="00292BC6"/>
    <w:rsid w:val="002A5ED2"/>
    <w:rsid w:val="002B61AA"/>
    <w:rsid w:val="002C11EB"/>
    <w:rsid w:val="002C4512"/>
    <w:rsid w:val="0030133F"/>
    <w:rsid w:val="00334336"/>
    <w:rsid w:val="00362E4E"/>
    <w:rsid w:val="00371DA9"/>
    <w:rsid w:val="003A55E9"/>
    <w:rsid w:val="003B19B7"/>
    <w:rsid w:val="003C5337"/>
    <w:rsid w:val="003D18EB"/>
    <w:rsid w:val="003D2264"/>
    <w:rsid w:val="003E16AC"/>
    <w:rsid w:val="00402C5C"/>
    <w:rsid w:val="00450B63"/>
    <w:rsid w:val="00480D1D"/>
    <w:rsid w:val="004E64A1"/>
    <w:rsid w:val="005A37BD"/>
    <w:rsid w:val="005A4881"/>
    <w:rsid w:val="005E1E0A"/>
    <w:rsid w:val="005F1C37"/>
    <w:rsid w:val="00615FFC"/>
    <w:rsid w:val="0063534C"/>
    <w:rsid w:val="00644DD2"/>
    <w:rsid w:val="00652859"/>
    <w:rsid w:val="00670550"/>
    <w:rsid w:val="006C4A7D"/>
    <w:rsid w:val="006C4CBC"/>
    <w:rsid w:val="006D3A4D"/>
    <w:rsid w:val="0072003C"/>
    <w:rsid w:val="00736970"/>
    <w:rsid w:val="0074278E"/>
    <w:rsid w:val="007507AE"/>
    <w:rsid w:val="00771121"/>
    <w:rsid w:val="007B2618"/>
    <w:rsid w:val="007C6C6C"/>
    <w:rsid w:val="007D6FDE"/>
    <w:rsid w:val="008112AB"/>
    <w:rsid w:val="008156DF"/>
    <w:rsid w:val="00830103"/>
    <w:rsid w:val="0086031C"/>
    <w:rsid w:val="00880EFB"/>
    <w:rsid w:val="00887839"/>
    <w:rsid w:val="0089571F"/>
    <w:rsid w:val="008A0FE5"/>
    <w:rsid w:val="008D33C6"/>
    <w:rsid w:val="008E6AE6"/>
    <w:rsid w:val="008F0D1A"/>
    <w:rsid w:val="008F593F"/>
    <w:rsid w:val="00910FB5"/>
    <w:rsid w:val="00910FC0"/>
    <w:rsid w:val="00911442"/>
    <w:rsid w:val="009562B5"/>
    <w:rsid w:val="00982E90"/>
    <w:rsid w:val="00987A45"/>
    <w:rsid w:val="009A0487"/>
    <w:rsid w:val="009A5A2A"/>
    <w:rsid w:val="009B4CD8"/>
    <w:rsid w:val="009D3A38"/>
    <w:rsid w:val="009F4F7C"/>
    <w:rsid w:val="00A44C53"/>
    <w:rsid w:val="00A51258"/>
    <w:rsid w:val="00A630B7"/>
    <w:rsid w:val="00A90217"/>
    <w:rsid w:val="00A920B1"/>
    <w:rsid w:val="00AB49F8"/>
    <w:rsid w:val="00AF164C"/>
    <w:rsid w:val="00B158D9"/>
    <w:rsid w:val="00B27DF7"/>
    <w:rsid w:val="00B37544"/>
    <w:rsid w:val="00B47EC3"/>
    <w:rsid w:val="00B515D7"/>
    <w:rsid w:val="00B53DA4"/>
    <w:rsid w:val="00B57A18"/>
    <w:rsid w:val="00B84424"/>
    <w:rsid w:val="00B94D33"/>
    <w:rsid w:val="00BA71BE"/>
    <w:rsid w:val="00BC1E80"/>
    <w:rsid w:val="00BD5DD4"/>
    <w:rsid w:val="00C40BB7"/>
    <w:rsid w:val="00C42F56"/>
    <w:rsid w:val="00C45C03"/>
    <w:rsid w:val="00C81AA3"/>
    <w:rsid w:val="00CA1672"/>
    <w:rsid w:val="00CD331A"/>
    <w:rsid w:val="00D105D6"/>
    <w:rsid w:val="00D2381C"/>
    <w:rsid w:val="00D26FAB"/>
    <w:rsid w:val="00D4621A"/>
    <w:rsid w:val="00D86625"/>
    <w:rsid w:val="00DA188A"/>
    <w:rsid w:val="00DC35D6"/>
    <w:rsid w:val="00DC7CD6"/>
    <w:rsid w:val="00DD0CF8"/>
    <w:rsid w:val="00E2163E"/>
    <w:rsid w:val="00E53215"/>
    <w:rsid w:val="00E54AF5"/>
    <w:rsid w:val="00E93307"/>
    <w:rsid w:val="00EA29F1"/>
    <w:rsid w:val="00EC3DDB"/>
    <w:rsid w:val="00F27F1E"/>
    <w:rsid w:val="00F3058C"/>
    <w:rsid w:val="00F630AA"/>
    <w:rsid w:val="00F816AF"/>
    <w:rsid w:val="00F84C5F"/>
    <w:rsid w:val="00F85E3B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15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2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215"/>
    <w:rPr>
      <w:sz w:val="18"/>
      <w:szCs w:val="18"/>
    </w:rPr>
  </w:style>
  <w:style w:type="paragraph" w:styleId="a5">
    <w:name w:val="List Paragraph"/>
    <w:basedOn w:val="a"/>
    <w:uiPriority w:val="34"/>
    <w:qFormat/>
    <w:rsid w:val="009D3A38"/>
    <w:pPr>
      <w:ind w:firstLineChars="200" w:firstLine="420"/>
    </w:pPr>
  </w:style>
  <w:style w:type="table" w:styleId="a6">
    <w:name w:val="Table Grid"/>
    <w:basedOn w:val="a1"/>
    <w:uiPriority w:val="59"/>
    <w:rsid w:val="009D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58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78</cp:revision>
  <cp:lastPrinted>2016-06-03T07:18:00Z</cp:lastPrinted>
  <dcterms:created xsi:type="dcterms:W3CDTF">2014-04-30T06:28:00Z</dcterms:created>
  <dcterms:modified xsi:type="dcterms:W3CDTF">2016-10-25T06:27:00Z</dcterms:modified>
</cp:coreProperties>
</file>